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9875F3" w:rsidP="00AA01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IRC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</w:t>
      </w:r>
      <w:r w:rsidR="00F943F6">
        <w:rPr>
          <w:rFonts w:ascii="Arial" w:hAnsi="Arial" w:cs="Arial"/>
          <w:b/>
          <w:sz w:val="20"/>
          <w:szCs w:val="20"/>
        </w:rPr>
        <w:t xml:space="preserve"> of over 10%</w:t>
      </w:r>
      <w:r w:rsidR="00F02E19">
        <w:rPr>
          <w:rFonts w:ascii="Arial" w:hAnsi="Arial" w:cs="Arial"/>
          <w:b/>
          <w:sz w:val="20"/>
          <w:szCs w:val="20"/>
        </w:rPr>
        <w:t xml:space="preserve"> in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125C9D" w:rsidRDefault="00E36A48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30005">
        <w:rPr>
          <w:rFonts w:ascii="Arial" w:hAnsi="Arial" w:cs="Arial"/>
          <w:sz w:val="20"/>
          <w:szCs w:val="20"/>
        </w:rPr>
        <w:t>1</w:t>
      </w:r>
      <w:r w:rsidR="009875F3">
        <w:rPr>
          <w:rFonts w:ascii="Arial" w:hAnsi="Arial" w:cs="Arial"/>
          <w:sz w:val="20"/>
          <w:szCs w:val="20"/>
        </w:rPr>
        <w:t>6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9875F3" w:rsidRPr="009875F3">
        <w:rPr>
          <w:rFonts w:ascii="Arial" w:hAnsi="Arial" w:cs="Arial"/>
          <w:sz w:val="20"/>
          <w:szCs w:val="20"/>
        </w:rPr>
        <w:t xml:space="preserve">Industrial Rubber </w:t>
      </w:r>
      <w:r w:rsidR="009875F3">
        <w:rPr>
          <w:rFonts w:ascii="Arial" w:hAnsi="Arial" w:cs="Arial"/>
          <w:sz w:val="20"/>
          <w:szCs w:val="20"/>
        </w:rPr>
        <w:t xml:space="preserve">Joint Stock Company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</w:t>
      </w:r>
      <w:r w:rsidR="00F943F6">
        <w:rPr>
          <w:rFonts w:ascii="Arial" w:hAnsi="Arial" w:cs="Arial"/>
          <w:sz w:val="20"/>
          <w:szCs w:val="20"/>
        </w:rPr>
        <w:t xml:space="preserve"> of over 10%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1885"/>
        <w:gridCol w:w="2160"/>
        <w:gridCol w:w="2039"/>
        <w:gridCol w:w="1667"/>
        <w:gridCol w:w="1352"/>
      </w:tblGrid>
      <w:tr w:rsidR="009875F3" w:rsidTr="009875F3">
        <w:tc>
          <w:tcPr>
            <w:tcW w:w="473" w:type="dxa"/>
          </w:tcPr>
          <w:p w:rsidR="009875F3" w:rsidRDefault="009875F3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85" w:type="dxa"/>
          </w:tcPr>
          <w:p w:rsidR="009875F3" w:rsidRDefault="009875F3" w:rsidP="007E6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160" w:type="dxa"/>
          </w:tcPr>
          <w:p w:rsidR="009875F3" w:rsidRDefault="009875F3" w:rsidP="007E6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2019 (from 01 Jan 2019 to 31 Dec 2019) (VND)</w:t>
            </w:r>
          </w:p>
        </w:tc>
        <w:tc>
          <w:tcPr>
            <w:tcW w:w="2039" w:type="dxa"/>
          </w:tcPr>
          <w:p w:rsidR="009875F3" w:rsidRDefault="009875F3" w:rsidP="009875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</w:t>
            </w:r>
            <w:r>
              <w:rPr>
                <w:rFonts w:ascii="Arial" w:hAnsi="Arial" w:cs="Arial"/>
                <w:sz w:val="20"/>
                <w:szCs w:val="20"/>
              </w:rPr>
              <w:t>8 (from 01 Mar 2018</w:t>
            </w:r>
            <w:r>
              <w:rPr>
                <w:rFonts w:ascii="Arial" w:hAnsi="Arial" w:cs="Arial"/>
                <w:sz w:val="20"/>
                <w:szCs w:val="20"/>
              </w:rPr>
              <w:t xml:space="preserve"> to 31 Dec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) (VND)</w:t>
            </w:r>
          </w:p>
        </w:tc>
        <w:tc>
          <w:tcPr>
            <w:tcW w:w="1667" w:type="dxa"/>
          </w:tcPr>
          <w:p w:rsidR="009875F3" w:rsidRDefault="009875F3" w:rsidP="007E6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 (increase) (VND)</w:t>
            </w:r>
          </w:p>
        </w:tc>
        <w:tc>
          <w:tcPr>
            <w:tcW w:w="1352" w:type="dxa"/>
          </w:tcPr>
          <w:p w:rsidR="009875F3" w:rsidRDefault="009875F3" w:rsidP="007E6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rate (%)</w:t>
            </w:r>
          </w:p>
        </w:tc>
      </w:tr>
      <w:tr w:rsidR="009875F3" w:rsidTr="00F330CC">
        <w:tc>
          <w:tcPr>
            <w:tcW w:w="473" w:type="dxa"/>
          </w:tcPr>
          <w:p w:rsidR="009875F3" w:rsidRDefault="009875F3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:rsidR="009875F3" w:rsidRDefault="009875F3" w:rsidP="009875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5F3">
              <w:rPr>
                <w:rFonts w:ascii="Arial" w:hAnsi="Arial" w:cs="Arial"/>
                <w:sz w:val="20"/>
                <w:szCs w:val="20"/>
              </w:rPr>
              <w:t xml:space="preserve">Profit after corporate income </w:t>
            </w:r>
            <w:r>
              <w:rPr>
                <w:rFonts w:ascii="Arial" w:hAnsi="Arial" w:cs="Arial"/>
                <w:sz w:val="20"/>
                <w:szCs w:val="20"/>
              </w:rPr>
              <w:t>tax</w:t>
            </w:r>
          </w:p>
        </w:tc>
        <w:tc>
          <w:tcPr>
            <w:tcW w:w="2160" w:type="dxa"/>
            <w:vAlign w:val="center"/>
          </w:tcPr>
          <w:p w:rsidR="009875F3" w:rsidRDefault="009875F3" w:rsidP="00F33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5F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875F3">
              <w:rPr>
                <w:rFonts w:ascii="Arial" w:hAnsi="Arial" w:cs="Arial"/>
                <w:sz w:val="20"/>
                <w:szCs w:val="20"/>
              </w:rPr>
              <w:t>290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875F3">
              <w:rPr>
                <w:rFonts w:ascii="Arial" w:hAnsi="Arial" w:cs="Arial"/>
                <w:sz w:val="20"/>
                <w:szCs w:val="20"/>
              </w:rPr>
              <w:t>892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875F3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2039" w:type="dxa"/>
            <w:vAlign w:val="center"/>
          </w:tcPr>
          <w:p w:rsidR="009875F3" w:rsidRDefault="009875F3" w:rsidP="00F33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5F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875F3">
              <w:rPr>
                <w:rFonts w:ascii="Arial" w:hAnsi="Arial" w:cs="Arial"/>
                <w:sz w:val="20"/>
                <w:szCs w:val="20"/>
              </w:rPr>
              <w:t>326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875F3">
              <w:rPr>
                <w:rFonts w:ascii="Arial" w:hAnsi="Arial" w:cs="Arial"/>
                <w:sz w:val="20"/>
                <w:szCs w:val="20"/>
              </w:rPr>
              <w:t>829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875F3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1667" w:type="dxa"/>
            <w:vAlign w:val="center"/>
          </w:tcPr>
          <w:p w:rsidR="009875F3" w:rsidRDefault="009875F3" w:rsidP="00F33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5F3">
              <w:rPr>
                <w:rFonts w:ascii="Arial" w:hAnsi="Arial" w:cs="Arial"/>
                <w:sz w:val="20"/>
                <w:szCs w:val="20"/>
              </w:rPr>
              <w:t>964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875F3">
              <w:rPr>
                <w:rFonts w:ascii="Arial" w:hAnsi="Arial" w:cs="Arial"/>
                <w:sz w:val="20"/>
                <w:szCs w:val="20"/>
              </w:rPr>
              <w:t>062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875F3">
              <w:rPr>
                <w:rFonts w:ascii="Arial" w:hAnsi="Arial" w:cs="Arial"/>
                <w:sz w:val="20"/>
                <w:szCs w:val="20"/>
              </w:rPr>
              <w:t>885</w:t>
            </w:r>
          </w:p>
        </w:tc>
        <w:tc>
          <w:tcPr>
            <w:tcW w:w="1352" w:type="dxa"/>
            <w:vAlign w:val="center"/>
          </w:tcPr>
          <w:p w:rsidR="009875F3" w:rsidRDefault="009875F3" w:rsidP="00F33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9875F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</w:tbl>
    <w:p w:rsidR="009875F3" w:rsidRDefault="009875F3" w:rsidP="00AA01BA">
      <w:pPr>
        <w:jc w:val="both"/>
        <w:rPr>
          <w:rFonts w:ascii="Arial" w:hAnsi="Arial" w:cs="Arial"/>
          <w:sz w:val="20"/>
          <w:szCs w:val="20"/>
        </w:rPr>
      </w:pPr>
    </w:p>
    <w:p w:rsidR="009875F3" w:rsidRDefault="009875F3" w:rsidP="00AA01BA">
      <w:pPr>
        <w:jc w:val="both"/>
        <w:rPr>
          <w:rFonts w:ascii="Arial" w:hAnsi="Arial" w:cs="Arial"/>
          <w:sz w:val="20"/>
          <w:szCs w:val="20"/>
        </w:rPr>
      </w:pPr>
      <w:r w:rsidRPr="009875F3">
        <w:rPr>
          <w:rFonts w:ascii="Arial" w:hAnsi="Arial" w:cs="Arial"/>
          <w:sz w:val="20"/>
          <w:szCs w:val="20"/>
        </w:rPr>
        <w:t xml:space="preserve">Profit after tax in 2019 increased by </w:t>
      </w:r>
      <w:r w:rsidRPr="009875F3">
        <w:rPr>
          <w:rFonts w:ascii="Arial" w:hAnsi="Arial" w:cs="Arial"/>
          <w:sz w:val="20"/>
          <w:szCs w:val="20"/>
        </w:rPr>
        <w:t>VND</w:t>
      </w:r>
      <w:r w:rsidRPr="009875F3">
        <w:rPr>
          <w:rFonts w:ascii="Arial" w:hAnsi="Arial" w:cs="Arial"/>
          <w:sz w:val="20"/>
          <w:szCs w:val="20"/>
        </w:rPr>
        <w:t xml:space="preserve"> 964</w:t>
      </w:r>
      <w:r>
        <w:rPr>
          <w:rFonts w:ascii="Arial" w:hAnsi="Arial" w:cs="Arial"/>
          <w:sz w:val="20"/>
          <w:szCs w:val="20"/>
        </w:rPr>
        <w:t>,</w:t>
      </w:r>
      <w:r w:rsidRPr="009875F3">
        <w:rPr>
          <w:rFonts w:ascii="Arial" w:hAnsi="Arial" w:cs="Arial"/>
          <w:sz w:val="20"/>
          <w:szCs w:val="20"/>
        </w:rPr>
        <w:t>062</w:t>
      </w:r>
      <w:r>
        <w:rPr>
          <w:rFonts w:ascii="Arial" w:hAnsi="Arial" w:cs="Arial"/>
          <w:sz w:val="20"/>
          <w:szCs w:val="20"/>
        </w:rPr>
        <w:t>,</w:t>
      </w:r>
      <w:r w:rsidRPr="009875F3">
        <w:rPr>
          <w:rFonts w:ascii="Arial" w:hAnsi="Arial" w:cs="Arial"/>
          <w:sz w:val="20"/>
          <w:szCs w:val="20"/>
        </w:rPr>
        <w:t>885 co</w:t>
      </w:r>
      <w:bookmarkStart w:id="0" w:name="_GoBack"/>
      <w:bookmarkEnd w:id="0"/>
      <w:r w:rsidRPr="009875F3">
        <w:rPr>
          <w:rFonts w:ascii="Arial" w:hAnsi="Arial" w:cs="Arial"/>
          <w:sz w:val="20"/>
          <w:szCs w:val="20"/>
        </w:rPr>
        <w:t>mpared to 2018, corr</w:t>
      </w:r>
      <w:r>
        <w:rPr>
          <w:rFonts w:ascii="Arial" w:hAnsi="Arial" w:cs="Arial"/>
          <w:sz w:val="20"/>
          <w:szCs w:val="20"/>
        </w:rPr>
        <w:t>esponding to an increase of 11.</w:t>
      </w:r>
      <w:r w:rsidRPr="009875F3">
        <w:rPr>
          <w:rFonts w:ascii="Arial" w:hAnsi="Arial" w:cs="Arial"/>
          <w:sz w:val="20"/>
          <w:szCs w:val="20"/>
        </w:rPr>
        <w:t xml:space="preserve">63%, due to the following reasons: </w:t>
      </w:r>
    </w:p>
    <w:p w:rsidR="009875F3" w:rsidRDefault="009875F3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9875F3">
        <w:rPr>
          <w:rFonts w:ascii="Arial" w:hAnsi="Arial" w:cs="Arial"/>
          <w:sz w:val="20"/>
          <w:szCs w:val="20"/>
        </w:rPr>
        <w:t>n 2018</w:t>
      </w:r>
      <w:r>
        <w:rPr>
          <w:rFonts w:ascii="Arial" w:hAnsi="Arial" w:cs="Arial"/>
          <w:sz w:val="20"/>
          <w:szCs w:val="20"/>
        </w:rPr>
        <w:t>: Operating</w:t>
      </w:r>
      <w:r w:rsidRPr="00987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9875F3">
        <w:rPr>
          <w:rFonts w:ascii="Arial" w:hAnsi="Arial" w:cs="Arial"/>
          <w:sz w:val="20"/>
          <w:szCs w:val="20"/>
        </w:rPr>
        <w:t>n 10 months (from Marc</w:t>
      </w:r>
      <w:r>
        <w:rPr>
          <w:rFonts w:ascii="Arial" w:hAnsi="Arial" w:cs="Arial"/>
          <w:sz w:val="20"/>
          <w:szCs w:val="20"/>
        </w:rPr>
        <w:t>h 1, 2018 to December 31, 2018);</w:t>
      </w:r>
      <w:r w:rsidRPr="009875F3">
        <w:rPr>
          <w:rFonts w:ascii="Arial" w:hAnsi="Arial" w:cs="Arial"/>
          <w:sz w:val="20"/>
          <w:szCs w:val="20"/>
        </w:rPr>
        <w:t xml:space="preserve"> in 2019</w:t>
      </w:r>
      <w:r>
        <w:rPr>
          <w:rFonts w:ascii="Arial" w:hAnsi="Arial" w:cs="Arial"/>
          <w:sz w:val="20"/>
          <w:szCs w:val="20"/>
        </w:rPr>
        <w:t>:</w:t>
      </w:r>
      <w:r w:rsidRPr="009875F3">
        <w:rPr>
          <w:rFonts w:ascii="Arial" w:hAnsi="Arial" w:cs="Arial"/>
          <w:sz w:val="20"/>
          <w:szCs w:val="20"/>
        </w:rPr>
        <w:t xml:space="preserve"> full</w:t>
      </w:r>
      <w:r>
        <w:rPr>
          <w:rFonts w:ascii="Arial" w:hAnsi="Arial" w:cs="Arial"/>
          <w:sz w:val="20"/>
          <w:szCs w:val="20"/>
        </w:rPr>
        <w:t xml:space="preserve">y operating in 12 months (from </w:t>
      </w:r>
      <w:r w:rsidRPr="009875F3">
        <w:rPr>
          <w:rFonts w:ascii="Arial" w:hAnsi="Arial" w:cs="Arial"/>
          <w:sz w:val="20"/>
          <w:szCs w:val="20"/>
        </w:rPr>
        <w:t>Janu</w:t>
      </w:r>
      <w:r>
        <w:rPr>
          <w:rFonts w:ascii="Arial" w:hAnsi="Arial" w:cs="Arial"/>
          <w:sz w:val="20"/>
          <w:szCs w:val="20"/>
        </w:rPr>
        <w:t>ary 1, 2019 to December 31, 2019</w:t>
      </w:r>
      <w:r w:rsidRPr="009875F3">
        <w:rPr>
          <w:rFonts w:ascii="Arial" w:hAnsi="Arial" w:cs="Arial"/>
          <w:sz w:val="20"/>
          <w:szCs w:val="20"/>
        </w:rPr>
        <w:t xml:space="preserve">) </w:t>
      </w:r>
    </w:p>
    <w:p w:rsidR="009875F3" w:rsidRDefault="009875F3" w:rsidP="00AA01BA">
      <w:pPr>
        <w:jc w:val="both"/>
        <w:rPr>
          <w:rFonts w:ascii="Arial" w:hAnsi="Arial" w:cs="Arial"/>
          <w:sz w:val="20"/>
          <w:szCs w:val="20"/>
        </w:rPr>
      </w:pPr>
      <w:r w:rsidRPr="009875F3">
        <w:rPr>
          <w:rFonts w:ascii="Arial" w:hAnsi="Arial" w:cs="Arial"/>
          <w:sz w:val="20"/>
          <w:szCs w:val="20"/>
        </w:rPr>
        <w:t>Industrial Rubber Joint S</w:t>
      </w:r>
      <w:r>
        <w:rPr>
          <w:rFonts w:ascii="Arial" w:hAnsi="Arial" w:cs="Arial"/>
          <w:sz w:val="20"/>
          <w:szCs w:val="20"/>
        </w:rPr>
        <w:t>tock Company officially operated</w:t>
      </w:r>
      <w:r w:rsidRPr="009875F3">
        <w:rPr>
          <w:rFonts w:ascii="Arial" w:hAnsi="Arial" w:cs="Arial"/>
          <w:sz w:val="20"/>
          <w:szCs w:val="20"/>
        </w:rPr>
        <w:t xml:space="preserve"> as a Joint Stock Company under the Business Registration Certifi</w:t>
      </w:r>
      <w:r>
        <w:rPr>
          <w:rFonts w:ascii="Arial" w:hAnsi="Arial" w:cs="Arial"/>
          <w:sz w:val="20"/>
          <w:szCs w:val="20"/>
        </w:rPr>
        <w:t>cate of Joint Stock Company No.</w:t>
      </w:r>
      <w:r w:rsidRPr="009875F3">
        <w:rPr>
          <w:rFonts w:ascii="Arial" w:hAnsi="Arial" w:cs="Arial"/>
          <w:sz w:val="20"/>
          <w:szCs w:val="20"/>
        </w:rPr>
        <w:t xml:space="preserve">3600259017 issued by </w:t>
      </w:r>
      <w:r w:rsidRPr="009875F3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Pr="009875F3">
        <w:rPr>
          <w:rFonts w:ascii="Arial" w:hAnsi="Arial" w:cs="Arial"/>
          <w:sz w:val="20"/>
          <w:szCs w:val="20"/>
        </w:rPr>
        <w:t>Nai</w:t>
      </w:r>
      <w:proofErr w:type="spellEnd"/>
      <w:r w:rsidRPr="009875F3">
        <w:rPr>
          <w:rFonts w:ascii="Arial" w:hAnsi="Arial" w:cs="Arial"/>
          <w:sz w:val="20"/>
          <w:szCs w:val="20"/>
        </w:rPr>
        <w:t xml:space="preserve"> </w:t>
      </w:r>
      <w:r w:rsidRPr="009875F3">
        <w:rPr>
          <w:rFonts w:ascii="Arial" w:hAnsi="Arial" w:cs="Arial"/>
          <w:sz w:val="20"/>
          <w:szCs w:val="20"/>
        </w:rPr>
        <w:t>Departm</w:t>
      </w:r>
      <w:r>
        <w:rPr>
          <w:rFonts w:ascii="Arial" w:hAnsi="Arial" w:cs="Arial"/>
          <w:sz w:val="20"/>
          <w:szCs w:val="20"/>
        </w:rPr>
        <w:t>ent of Planning and</w:t>
      </w:r>
      <w:r w:rsidRPr="009875F3">
        <w:rPr>
          <w:rFonts w:ascii="Arial" w:hAnsi="Arial" w:cs="Arial"/>
          <w:sz w:val="20"/>
          <w:szCs w:val="20"/>
        </w:rPr>
        <w:t xml:space="preserve"> Investment </w:t>
      </w:r>
      <w:r w:rsidR="00F330CC">
        <w:rPr>
          <w:rFonts w:ascii="Arial" w:hAnsi="Arial" w:cs="Arial"/>
          <w:sz w:val="20"/>
          <w:szCs w:val="20"/>
        </w:rPr>
        <w:t>issued on March 1, 2018</w:t>
      </w:r>
    </w:p>
    <w:p w:rsidR="00F943F6" w:rsidRDefault="009875F3" w:rsidP="00AA01BA">
      <w:pPr>
        <w:jc w:val="both"/>
        <w:rPr>
          <w:rFonts w:ascii="Arial" w:hAnsi="Arial" w:cs="Arial"/>
          <w:sz w:val="20"/>
          <w:szCs w:val="20"/>
        </w:rPr>
      </w:pPr>
      <w:r w:rsidRPr="009875F3">
        <w:rPr>
          <w:rFonts w:ascii="Arial" w:hAnsi="Arial" w:cs="Arial"/>
          <w:sz w:val="20"/>
          <w:szCs w:val="20"/>
        </w:rPr>
        <w:t>Total revenue in 2019 (from January 1, 2019</w:t>
      </w:r>
      <w:r>
        <w:rPr>
          <w:rFonts w:ascii="Arial" w:hAnsi="Arial" w:cs="Arial"/>
          <w:sz w:val="20"/>
          <w:szCs w:val="20"/>
        </w:rPr>
        <w:t xml:space="preserve"> to December 31, 2019) increased</w:t>
      </w:r>
      <w:r w:rsidRPr="009875F3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 xml:space="preserve">VND </w:t>
      </w:r>
      <w:r w:rsidRPr="009875F3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,</w:t>
      </w:r>
      <w:r w:rsidRPr="009875F3">
        <w:rPr>
          <w:rFonts w:ascii="Arial" w:hAnsi="Arial" w:cs="Arial"/>
          <w:sz w:val="20"/>
          <w:szCs w:val="20"/>
        </w:rPr>
        <w:t>529</w:t>
      </w:r>
      <w:r>
        <w:rPr>
          <w:rFonts w:ascii="Arial" w:hAnsi="Arial" w:cs="Arial"/>
          <w:sz w:val="20"/>
          <w:szCs w:val="20"/>
        </w:rPr>
        <w:t>,349,</w:t>
      </w:r>
      <w:r w:rsidRPr="009875F3">
        <w:rPr>
          <w:rFonts w:ascii="Arial" w:hAnsi="Arial" w:cs="Arial"/>
          <w:sz w:val="20"/>
          <w:szCs w:val="20"/>
        </w:rPr>
        <w:t xml:space="preserve">128 compared to 2018 (from March 1, 2018 to December 31, 2018) so the figures of the </w:t>
      </w:r>
      <w:r w:rsidR="00F330CC">
        <w:rPr>
          <w:rFonts w:ascii="Arial" w:hAnsi="Arial" w:cs="Arial"/>
          <w:sz w:val="20"/>
          <w:szCs w:val="20"/>
        </w:rPr>
        <w:t>financial statements in 2018 were</w:t>
      </w:r>
      <w:r w:rsidRPr="009875F3">
        <w:rPr>
          <w:rFonts w:ascii="Arial" w:hAnsi="Arial" w:cs="Arial"/>
          <w:sz w:val="20"/>
          <w:szCs w:val="20"/>
        </w:rPr>
        <w:t xml:space="preserve"> presented not for co</w:t>
      </w:r>
      <w:r w:rsidR="00F330CC">
        <w:rPr>
          <w:rFonts w:ascii="Arial" w:hAnsi="Arial" w:cs="Arial"/>
          <w:sz w:val="20"/>
          <w:szCs w:val="20"/>
        </w:rPr>
        <w:t>mparison with the next period. It</w:t>
      </w:r>
      <w:r w:rsidRPr="009875F3">
        <w:rPr>
          <w:rFonts w:ascii="Arial" w:hAnsi="Arial" w:cs="Arial"/>
          <w:sz w:val="20"/>
          <w:szCs w:val="20"/>
        </w:rPr>
        <w:t xml:space="preserve"> is to comply with the guidance on the presentatio</w:t>
      </w:r>
      <w:r w:rsidR="00F330CC">
        <w:rPr>
          <w:rFonts w:ascii="Arial" w:hAnsi="Arial" w:cs="Arial"/>
          <w:sz w:val="20"/>
          <w:szCs w:val="20"/>
        </w:rPr>
        <w:t>n of the financial statements in Circular 200/2014/</w:t>
      </w:r>
      <w:r w:rsidRPr="009875F3">
        <w:rPr>
          <w:rFonts w:ascii="Arial" w:hAnsi="Arial" w:cs="Arial"/>
          <w:sz w:val="20"/>
          <w:szCs w:val="20"/>
        </w:rPr>
        <w:t>TT - BTC dated December</w:t>
      </w:r>
      <w:r w:rsidR="00F330CC">
        <w:rPr>
          <w:rFonts w:ascii="Arial" w:hAnsi="Arial" w:cs="Arial"/>
          <w:sz w:val="20"/>
          <w:szCs w:val="20"/>
        </w:rPr>
        <w:t xml:space="preserve"> 22, 2014</w:t>
      </w:r>
      <w:r w:rsidRPr="009875F3">
        <w:rPr>
          <w:rFonts w:ascii="Arial" w:hAnsi="Arial" w:cs="Arial"/>
          <w:sz w:val="20"/>
          <w:szCs w:val="20"/>
        </w:rPr>
        <w:t xml:space="preserve"> </w:t>
      </w:r>
    </w:p>
    <w:sectPr w:rsidR="00F94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125C9D"/>
    <w:rsid w:val="001654BA"/>
    <w:rsid w:val="0026711C"/>
    <w:rsid w:val="00303E63"/>
    <w:rsid w:val="00330005"/>
    <w:rsid w:val="00383720"/>
    <w:rsid w:val="003A771E"/>
    <w:rsid w:val="00467BC0"/>
    <w:rsid w:val="00496733"/>
    <w:rsid w:val="00526862"/>
    <w:rsid w:val="005B0276"/>
    <w:rsid w:val="005E7D00"/>
    <w:rsid w:val="006C595B"/>
    <w:rsid w:val="006E13A2"/>
    <w:rsid w:val="00701F46"/>
    <w:rsid w:val="007028B7"/>
    <w:rsid w:val="00745D9A"/>
    <w:rsid w:val="00772421"/>
    <w:rsid w:val="00780578"/>
    <w:rsid w:val="008078B6"/>
    <w:rsid w:val="0088081B"/>
    <w:rsid w:val="00887C3A"/>
    <w:rsid w:val="009875F3"/>
    <w:rsid w:val="00A62855"/>
    <w:rsid w:val="00A81EB3"/>
    <w:rsid w:val="00AA01BA"/>
    <w:rsid w:val="00AA514E"/>
    <w:rsid w:val="00AF67BE"/>
    <w:rsid w:val="00BC5B0A"/>
    <w:rsid w:val="00C72FFB"/>
    <w:rsid w:val="00CA6F06"/>
    <w:rsid w:val="00E36A48"/>
    <w:rsid w:val="00F02E19"/>
    <w:rsid w:val="00F163FC"/>
    <w:rsid w:val="00F330CC"/>
    <w:rsid w:val="00F655B9"/>
    <w:rsid w:val="00F85153"/>
    <w:rsid w:val="00F943F6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44</cp:revision>
  <dcterms:created xsi:type="dcterms:W3CDTF">2019-10-16T10:03:00Z</dcterms:created>
  <dcterms:modified xsi:type="dcterms:W3CDTF">2020-03-23T00:59:00Z</dcterms:modified>
</cp:coreProperties>
</file>